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1"/>
        </w:trPr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Proxima Nova" w:cs="Proxima Nova" w:eastAsia="Proxima Nova" w:hAnsi="Proxima Nova"/>
                <w:b w:val="1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rtl w:val="0"/>
              </w:rPr>
              <w:t xml:space="preserve">Stakeholder Focus</w:t>
            </w:r>
          </w:p>
        </w:tc>
        <w:tc>
          <w:tcPr>
            <w:shd w:fill="0468b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Proxima Nova" w:cs="Proxima Nova" w:eastAsia="Proxima Nova" w:hAnsi="Proxima Nova"/>
                <w:b w:val="1"/>
                <w:color w:val="ffff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rtl w:val="0"/>
              </w:rPr>
              <w:t xml:space="preserve">Key Actions/Considerations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1. Define Your Community (WHO)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7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Identify Target Groups: Specifically list your primary target communities (e.g., residents near factories, school communities, asthma patients).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9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Understand Community Context: Consider their demographics, existing concerns, communication preferences, and trusted information sources.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Map Stakeholders by Function: Categorize stakeholders into Connectors, Supporters, and Impact Drivers for targeted engagement.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2. Communication Goals (WHY)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3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Secure Project Support: Aim to gain community buy-in to minimize vandalism and ensure smooth data collection.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Empower Action: Raise awareness to empower communities to protect themselves and advocate for cleaner air.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2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Build Trust &amp; Credibility: Establish trust in the project, the data, and the team behind 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3. Key Messages (WHAT to Communicate)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Project Information: Clearly explain the project's purpose, goals, methodology, and expected benefits for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their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community.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4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Address Concerns Proactively: Directly address potential concerns about privacy, safety, data accuracy, and resource use.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Highlight Community Benefits: Emphasize the positive impacts tailored to their specific interests (health improvements, environmental benefits, etc.).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7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Offer Actionable Solutions: Provide practical steps individuals and the community can take to improve air quality and protect themselves.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4. Communication Channels (HOW)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Diverse Channels: Utilize a mix of communication methods to reach different groups (meetings, online, print, local media, community leaders).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5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Tailor Channels to Audience: Select channels appropriate for each stakeholder group (e.g., social media for youth, meetings for elders).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8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Accessible Language: Ensure all communication is clear, concise, and avoids technical jargon. Translate into local languages if needed.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5. Build Trust (ESSENTIAL)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Transparency: Be open about the project, data collection methods, and data usage.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6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Responsiveness: Actively listen to and address community questions and feedback.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Inclusivity: Engage diverse community members and ensure all voices are heard and valued. Include marginalized groups.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Long-Term Engagement: View communication as an ongoing process, not a one-time event, to maintain trust and support.</w:t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line="360" w:lineRule="auto"/>
      <w:rPr>
        <w:rFonts w:ascii="Proxima Nova Semibold" w:cs="Proxima Nova Semibold" w:eastAsia="Proxima Nova Semibold" w:hAnsi="Proxima Nova Semibold"/>
        <w:color w:val="0468b1"/>
        <w:sz w:val="24"/>
        <w:szCs w:val="24"/>
        <w:highlight w:val="white"/>
      </w:rPr>
    </w:pPr>
    <w:r w:rsidDel="00000000" w:rsidR="00000000" w:rsidRPr="00000000">
      <w:rPr>
        <w:rFonts w:ascii="Proxima Nova Semibold" w:cs="Proxima Nova Semibold" w:eastAsia="Proxima Nova Semibold" w:hAnsi="Proxima Nova Semibold"/>
        <w:color w:val="0468b1"/>
        <w:sz w:val="24"/>
        <w:szCs w:val="24"/>
        <w:highlight w:val="white"/>
        <w:rtl w:val="0"/>
      </w:rPr>
      <w:t xml:space="preserve">Low-Cost Hyperlocal Air Quality Monitoring Toolkit</w:t>
    </w:r>
  </w:p>
  <w:p w:rsidR="00000000" w:rsidDel="00000000" w:rsidP="00000000" w:rsidRDefault="00000000" w:rsidRPr="00000000" w14:paraId="00000028">
    <w:pPr>
      <w:spacing w:line="360" w:lineRule="auto"/>
      <w:rPr>
        <w:rFonts w:ascii="Proxima Nova Semibold" w:cs="Proxima Nova Semibold" w:eastAsia="Proxima Nova Semibold" w:hAnsi="Proxima Nova Semibold"/>
        <w:color w:val="0468b1"/>
        <w:sz w:val="2"/>
        <w:szCs w:val="2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>
        <w:rFonts w:ascii="Proxima Nova" w:cs="Proxima Nova" w:eastAsia="Proxima Nova" w:hAnsi="Proxima Nova"/>
        <w:b w:val="1"/>
        <w:color w:val="0468b1"/>
        <w:sz w:val="24"/>
        <w:szCs w:val="24"/>
        <w:highlight w:val="white"/>
      </w:rPr>
    </w:pPr>
    <w:r w:rsidDel="00000000" w:rsidR="00000000" w:rsidRPr="00000000">
      <w:rPr>
        <w:rFonts w:ascii="Proxima Nova" w:cs="Proxima Nova" w:eastAsia="Proxima Nova" w:hAnsi="Proxima Nova"/>
        <w:b w:val="1"/>
        <w:color w:val="0468b1"/>
        <w:sz w:val="48"/>
        <w:szCs w:val="48"/>
        <w:highlight w:val="white"/>
        <w:rtl w:val="0"/>
      </w:rPr>
      <w:t xml:space="preserve">P3: Community Engagement Planning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  <w:ind w:left="720" w:hanging="360"/>
    </w:pPr>
    <w:rPr>
      <w:rFonts w:ascii="Proxima Nova Semibold" w:cs="Proxima Nova Semibold" w:eastAsia="Proxima Nova Semibold" w:hAnsi="Proxima Nova Semibold"/>
      <w:color w:val="666666"/>
      <w:sz w:val="32"/>
      <w:szCs w:val="32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color w:val="434343"/>
      <w:sz w:val="28"/>
      <w:szCs w:val="28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</w:pPr>
    <w:rPr>
      <w:rFonts w:ascii="Proxima Nova" w:cs="Proxima Nova" w:eastAsia="Proxima Nova" w:hAnsi="Proxima Nova"/>
      <w:color w:val="434343"/>
      <w:sz w:val="28"/>
      <w:szCs w:val="28"/>
      <w:highlight w:val="whit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ind w:left="720" w:hanging="360"/>
    </w:pPr>
    <w:rPr>
      <w:rFonts w:ascii="Proxima Nova Semibold" w:cs="Proxima Nova Semibold" w:eastAsia="Proxima Nova Semibold" w:hAnsi="Proxima Nova Semibold"/>
      <w:sz w:val="40"/>
      <w:szCs w:val="40"/>
      <w:highlight w:val="whit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  <w:ind w:left="720" w:hanging="360"/>
    </w:pPr>
    <w:rPr>
      <w:rFonts w:ascii="Proxima Nova Semibold" w:cs="Proxima Nova Semibold" w:eastAsia="Proxima Nova Semibold" w:hAnsi="Proxima Nova Semibold"/>
      <w:color w:val="666666"/>
      <w:sz w:val="32"/>
      <w:szCs w:val="32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color w:val="434343"/>
      <w:sz w:val="28"/>
      <w:szCs w:val="28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</w:pPr>
    <w:rPr>
      <w:rFonts w:ascii="Proxima Nova" w:cs="Proxima Nova" w:eastAsia="Proxima Nova" w:hAnsi="Proxima Nova"/>
      <w:color w:val="434343"/>
      <w:sz w:val="28"/>
      <w:szCs w:val="28"/>
      <w:highlight w:val="whit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ind w:left="720" w:hanging="360"/>
    </w:pPr>
    <w:rPr>
      <w:rFonts w:ascii="Proxima Nova Semibold" w:cs="Proxima Nova Semibold" w:eastAsia="Proxima Nova Semibold" w:hAnsi="Proxima Nova Semibold"/>
      <w:sz w:val="40"/>
      <w:szCs w:val="40"/>
      <w:highlight w:val="whit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xNa/exBAYNnIUWQD+arIQ52NA==">CgMxLjA4AHIhMWw3Sm9HaEk4SnhvZEVZSDNlaDlYaGVKSFdnNUxnZl9s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